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5"/>
      <w:bookmarkStart w:id="1" w:name="OLE_LINK6"/>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R4-2201396</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reply LS on use of NCD-SSB or CSI-RS in DL BWPs for RedCap UE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6.20.3.4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widowControl/>
        <w:numPr>
          <w:ilvl w:val="0"/>
          <w:numId w:val="6"/>
        </w:numPr>
        <w:pBdr>
          <w:top w:val="single" w:color="auto" w:sz="12" w:space="3"/>
        </w:pBdr>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pPr>
        <w:spacing w:before="120"/>
      </w:pPr>
      <w:r>
        <w:t xml:space="preserve">For RedCap UEs, since the supported BW may be smaller than the BW of initial DL/UL BWP, RAN1 has agreed to introduce a separate initial UL BWP for RedCap UEs, in addition, RAN1 is discussing and introducing a separate NCD-SSB to facilitate UE to perform RRM/RLM, etc when UE’s activate BWP does not include the CD-SSB. </w:t>
      </w:r>
    </w:p>
    <w:p>
      <w:pPr>
        <w:spacing w:before="120"/>
      </w:pPr>
      <w:r>
        <w:t>After RAN</w:t>
      </w:r>
      <w:r>
        <w:rPr>
          <w:rFonts w:hint="eastAsia" w:eastAsia="宋体"/>
          <w:lang w:val="en-US" w:eastAsia="zh-CN"/>
        </w:rPr>
        <w:t xml:space="preserve"> 4 101-e</w:t>
      </w:r>
      <w:r>
        <w:t>, RAN1 approved a new LS to RAN</w:t>
      </w:r>
      <w:r>
        <w:rPr>
          <w:rFonts w:hint="eastAsia" w:eastAsia="宋体"/>
          <w:lang w:val="en-US" w:eastAsia="zh-CN"/>
        </w:rPr>
        <w:t>4</w:t>
      </w:r>
      <w:r>
        <w:t xml:space="preserve"> in [2]. </w:t>
      </w:r>
      <w:r>
        <w:rPr>
          <w:rFonts w:hint="eastAsia"/>
        </w:rPr>
        <w:t>I</w:t>
      </w:r>
      <w:r>
        <w:t xml:space="preserve">n addition, during RAN_94e, companies discussed UE behavior in RRC_IDLE/INACTIVE mode under NCD-SSB operation, and following proposals are endorsed.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5" w:type="dxa"/>
          </w:tcPr>
          <w:p>
            <w:pPr>
              <w:pStyle w:val="28"/>
              <w:numPr>
                <w:ilvl w:val="0"/>
                <w:numId w:val="7"/>
              </w:numPr>
              <w:spacing w:before="120"/>
              <w:contextualSpacing w:val="0"/>
              <w:rPr>
                <w:lang w:eastAsia="en-US"/>
              </w:rPr>
            </w:pPr>
            <w:r>
              <w:rPr>
                <w:lang w:eastAsia="en-US"/>
              </w:rPr>
              <w:t>Scheme 1 (i.e. UE in IDLE and INACTIVE monitors paging in an initial BWP associated with CD-SSB) is adopted for further work in Rel-17. Scheme 2 (i.e. UE in IDLE and INACTIVE monitors paging in an initial BWP associated with NCD-SSB) is not considered further in Rel-17</w:t>
            </w:r>
          </w:p>
        </w:tc>
      </w:tr>
    </w:tbl>
    <w:p>
      <w:pPr>
        <w:spacing w:before="120" w:after="0"/>
      </w:pPr>
      <w:r>
        <w:t>In this contribution, we further discuss the RAN</w:t>
      </w:r>
      <w:r>
        <w:rPr>
          <w:rFonts w:hint="eastAsia" w:eastAsia="宋体"/>
          <w:lang w:val="en-US" w:eastAsia="zh-CN"/>
        </w:rPr>
        <w:t>4</w:t>
      </w:r>
      <w:r>
        <w:t xml:space="preserve"> impact of supporting separate initial BWP and NCD-SSB. </w:t>
      </w:r>
    </w:p>
    <w:p>
      <w:pPr>
        <w:pStyle w:val="2"/>
        <w:widowControl/>
        <w:numPr>
          <w:ilvl w:val="0"/>
          <w:numId w:val="6"/>
        </w:numPr>
        <w:pBdr>
          <w:top w:val="single" w:color="auto" w:sz="12" w:space="3"/>
        </w:pBdr>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Separate initial DL BWP in RRC_IDLE/INACTIVE</w:t>
      </w:r>
    </w:p>
    <w:p>
      <w:pPr>
        <w:rPr>
          <w:rFonts w:hint="eastAsia"/>
        </w:rPr>
      </w:pPr>
      <w:r>
        <w:rPr>
          <w:rFonts w:hint="eastAsia"/>
        </w:rPr>
        <w:t>A</w:t>
      </w:r>
      <w:r>
        <w:t xml:space="preserve">ccording to RAN1’s discussion, the reason of introducing a separate initial DL BWP is that, the bandwidth of configured initial DL BWP may be larger than the maximum bandwidth supported by RedCap UE.   </w:t>
      </w:r>
    </w:p>
    <w:p>
      <w:pPr>
        <w:pStyle w:val="2"/>
        <w:widowControl/>
        <w:numPr>
          <w:ilvl w:val="1"/>
          <w:numId w:val="6"/>
        </w:numPr>
        <w:pBdr>
          <w:top w:val="single" w:color="auto" w:sz="12" w:space="3"/>
        </w:pBdr>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Scenario 1</w:t>
      </w:r>
    </w:p>
    <w:p>
      <w:r>
        <w:t>In RAN1 LS[2], the following RAN1 agreement is mentioned:</w:t>
      </w:r>
    </w:p>
    <w:p>
      <w:pPr>
        <w:widowControl/>
        <w:spacing w:after="0"/>
        <w:jc w:val="left"/>
        <w:rPr>
          <w:rFonts w:ascii="Times New Roman" w:hAnsi="Times New Roman" w:eastAsia="等线"/>
          <w:bCs/>
          <w:color w:val="0070C0"/>
          <w:kern w:val="0"/>
          <w:szCs w:val="20"/>
          <w:highlight w:val="green"/>
          <w:lang w:eastAsia="en-US"/>
        </w:rPr>
      </w:pPr>
      <w:r>
        <w:rPr>
          <w:rFonts w:ascii="Times New Roman" w:hAnsi="Times New Roman" w:eastAsia="等线"/>
          <w:bCs/>
          <w:color w:val="0070C0"/>
          <w:kern w:val="0"/>
          <w:szCs w:val="20"/>
          <w:highlight w:val="green"/>
          <w:lang w:eastAsia="en-US"/>
        </w:rPr>
        <w:t>Agreement:</w:t>
      </w:r>
    </w:p>
    <w:p>
      <w:pPr>
        <w:widowControl/>
        <w:numPr>
          <w:ilvl w:val="0"/>
          <w:numId w:val="8"/>
        </w:numPr>
        <w:overflowPunct w:val="0"/>
        <w:autoSpaceDE w:val="0"/>
        <w:autoSpaceDN w:val="0"/>
        <w:adjustRightInd w:val="0"/>
        <w:spacing w:after="0"/>
        <w:jc w:val="left"/>
        <w:textAlignment w:val="baseline"/>
        <w:rPr>
          <w:rFonts w:ascii="Times New Roman" w:hAnsi="Times New Roman" w:eastAsia="等线"/>
          <w:bCs/>
          <w:color w:val="0070C0"/>
          <w:kern w:val="0"/>
          <w:szCs w:val="20"/>
          <w:lang w:val="en-GB" w:eastAsia="en-US"/>
        </w:rPr>
      </w:pPr>
      <w:r>
        <w:rPr>
          <w:rFonts w:ascii="Times New Roman" w:hAnsi="Times New Roman" w:eastAsia="等线"/>
          <w:bCs/>
          <w:color w:val="0070C0"/>
          <w:kern w:val="0"/>
          <w:szCs w:val="20"/>
          <w:lang w:val="en-GB" w:eastAsia="en-US"/>
        </w:rPr>
        <w:t>For both FR1 and FR2, for a cell that allows a RedCap UE to access, network can configure a separate initial DL BWP for RedCap UEs in SIB. At least the case when the separate initial DL BWP includes CD-SSB and the entire CORESET#0 is supported</w:t>
      </w:r>
    </w:p>
    <w:p>
      <w:pPr>
        <w:widowControl/>
        <w:numPr>
          <w:ilvl w:val="1"/>
          <w:numId w:val="8"/>
        </w:numPr>
        <w:overflowPunct w:val="0"/>
        <w:autoSpaceDE w:val="0"/>
        <w:autoSpaceDN w:val="0"/>
        <w:adjustRightInd w:val="0"/>
        <w:spacing w:after="0"/>
        <w:jc w:val="left"/>
        <w:textAlignment w:val="baseline"/>
        <w:rPr>
          <w:rFonts w:ascii="Times New Roman" w:hAnsi="Times New Roman" w:eastAsia="等线"/>
          <w:bCs/>
          <w:color w:val="0070C0"/>
          <w:kern w:val="0"/>
          <w:szCs w:val="20"/>
          <w:lang w:val="en-GB" w:eastAsia="en-US"/>
        </w:rPr>
      </w:pPr>
      <w:r>
        <w:rPr>
          <w:rFonts w:ascii="Times New Roman" w:hAnsi="Times New Roman" w:eastAsia="等线"/>
          <w:bCs/>
          <w:color w:val="0070C0"/>
          <w:kern w:val="0"/>
          <w:szCs w:val="20"/>
          <w:lang w:val="en-GB" w:eastAsia="en-US"/>
        </w:rPr>
        <w:t>It can be used in idle/inactive mode (including paging) and during and after initial access, when applicable</w:t>
      </w:r>
    </w:p>
    <w:p>
      <w:pPr>
        <w:widowControl/>
        <w:numPr>
          <w:ilvl w:val="1"/>
          <w:numId w:val="8"/>
        </w:numPr>
        <w:overflowPunct w:val="0"/>
        <w:autoSpaceDE w:val="0"/>
        <w:autoSpaceDN w:val="0"/>
        <w:adjustRightInd w:val="0"/>
        <w:spacing w:after="0"/>
        <w:jc w:val="left"/>
        <w:textAlignment w:val="baseline"/>
        <w:rPr>
          <w:color w:val="0070C0"/>
        </w:rPr>
      </w:pPr>
      <w:r>
        <w:rPr>
          <w:rFonts w:ascii="Times New Roman" w:hAnsi="Times New Roman" w:eastAsia="等线"/>
          <w:bCs/>
          <w:color w:val="0070C0"/>
          <w:kern w:val="0"/>
          <w:szCs w:val="20"/>
          <w:lang w:val="en-GB" w:eastAsia="en-US"/>
        </w:rPr>
        <w:t>It is no wider than the maximum RedCap UE bandwidth.</w:t>
      </w:r>
    </w:p>
    <w:p>
      <w:pPr>
        <w:widowControl/>
        <w:numPr>
          <w:ilvl w:val="1"/>
          <w:numId w:val="8"/>
        </w:numPr>
        <w:overflowPunct w:val="0"/>
        <w:autoSpaceDE w:val="0"/>
        <w:autoSpaceDN w:val="0"/>
        <w:adjustRightInd w:val="0"/>
        <w:spacing w:after="0"/>
        <w:jc w:val="left"/>
        <w:textAlignment w:val="baseline"/>
      </w:pPr>
      <w:r>
        <w:rPr>
          <w:rFonts w:ascii="Times New Roman" w:hAnsi="Times New Roman" w:eastAsia="等线"/>
          <w:bCs/>
          <w:color w:val="0070C0"/>
          <w:kern w:val="0"/>
          <w:szCs w:val="20"/>
          <w:lang w:val="en-GB" w:eastAsia="en-US"/>
        </w:rPr>
        <w:t>This applies to both TDD and FDD (including FD FDD and HD FDD) cases.</w:t>
      </w:r>
    </w:p>
    <w:p>
      <w:r>
        <w:t xml:space="preserve">Above agreement shows that network can configure a separate initial DL BWP that contains CD-SSB and entire CORESET#0, let’s call it “Scenario 1”. </w:t>
      </w:r>
    </w:p>
    <w:p>
      <w:pPr>
        <w:tabs>
          <w:tab w:val="left" w:pos="1276"/>
        </w:tabs>
        <w:ind w:left="1271" w:hanging="1267" w:hangingChars="633"/>
        <w:rPr>
          <w:rFonts w:hint="eastAsia"/>
        </w:rPr>
      </w:pPr>
      <w:r>
        <w:rPr>
          <w:b/>
        </w:rPr>
        <w:t>Scenario 1:</w:t>
      </w:r>
      <w:r>
        <w:t xml:space="preserve"> </w:t>
      </w:r>
      <w:r>
        <w:tab/>
      </w:r>
      <w:r>
        <w:t>Separate initial DL BWP contains CD-SSB and entire CORESET#0, NCD-SSB is not configured (illustrated in Figure 1).</w:t>
      </w:r>
    </w:p>
    <w:p>
      <w:pPr>
        <w:jc w:val="center"/>
      </w:pPr>
      <w:r>
        <w:object>
          <v:shape id="_x0000_i1025" o:spt="75" type="#_x0000_t75" style="height:203.9pt;width:292.5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jc w:val="center"/>
      </w:pPr>
      <w:r>
        <w:t>Figure 1: Configuration of separate initial DL BWP– Scenario 1</w:t>
      </w:r>
    </w:p>
    <w:p>
      <w:pPr>
        <w:rPr>
          <w:rFonts w:hint="eastAsia"/>
        </w:rPr>
      </w:pPr>
      <w:r>
        <w:t>In general, Scenario 1 includes following key points:</w:t>
      </w:r>
    </w:p>
    <w:p>
      <w:pPr>
        <w:pStyle w:val="28"/>
        <w:numPr>
          <w:ilvl w:val="0"/>
          <w:numId w:val="9"/>
        </w:numPr>
      </w:pPr>
      <w:r>
        <w:t>The configured separate initial DL BWP is still associated with CD-SSB;</w:t>
      </w:r>
    </w:p>
    <w:p>
      <w:pPr>
        <w:pStyle w:val="28"/>
        <w:numPr>
          <w:ilvl w:val="0"/>
          <w:numId w:val="9"/>
        </w:numPr>
      </w:pPr>
      <w:r>
        <w:t xml:space="preserve">UE performs cell selection/reselection based on CD-SSB, no spec change is needed; </w:t>
      </w:r>
    </w:p>
    <w:p>
      <w:pPr>
        <w:pStyle w:val="28"/>
        <w:numPr>
          <w:ilvl w:val="0"/>
          <w:numId w:val="9"/>
        </w:numPr>
        <w:rPr>
          <w:rFonts w:hint="eastAsia"/>
        </w:rPr>
      </w:pPr>
      <w:r>
        <w:t>The configured separate initial UL BWP contains PRACH configuration, RedCap UE performs RACH by using these RACH resources;</w:t>
      </w:r>
    </w:p>
    <w:p>
      <w:pPr>
        <w:rPr>
          <w:rFonts w:hint="eastAsia"/>
        </w:rPr>
      </w:pPr>
      <w:r>
        <w:t xml:space="preserve">However, if the separate initial BWP contains a separate </w:t>
      </w:r>
      <w:r>
        <w:rPr>
          <w:i/>
        </w:rPr>
        <w:t>PDCCH-ConfigCommon</w:t>
      </w:r>
      <w:r>
        <w:t xml:space="preserve"> configuration, it is unclear whether network needs to configure separate common search space for Paging/RAR/SIB1/OSI? Or RedCap UEs will rely on the </w:t>
      </w:r>
      <w:r>
        <w:rPr>
          <w:i/>
        </w:rPr>
        <w:t>PDCCH-ConfigCommon</w:t>
      </w:r>
      <w:r>
        <w:t xml:space="preserve"> configuration of legacy initial DL BWP? </w:t>
      </w:r>
    </w:p>
    <w:p>
      <w:pPr>
        <w:ind w:left="1424" w:hanging="1419" w:hangingChars="709"/>
        <w:rPr>
          <w:b/>
        </w:rPr>
      </w:pPr>
      <w:r>
        <w:rPr>
          <w:rFonts w:hint="eastAsia"/>
          <w:b/>
        </w:rPr>
        <w:t>O</w:t>
      </w:r>
      <w:r>
        <w:rPr>
          <w:b/>
        </w:rPr>
        <w:t xml:space="preserve">bservation 1: In case separate initial DL BWP contains CD-SSB and CORESET#0, it is unclear whether and how to provide the </w:t>
      </w:r>
      <w:r>
        <w:rPr>
          <w:b/>
          <w:i/>
        </w:rPr>
        <w:t>PDCCH-ConfigCommon</w:t>
      </w:r>
      <w:r>
        <w:rPr>
          <w:b/>
        </w:rPr>
        <w:t xml:space="preserve"> configuration of the separate initial DL BWP (e.g. for monitoring Paging/RAR/SIB1/OSI). </w:t>
      </w:r>
    </w:p>
    <w:p>
      <w:r>
        <w:rPr>
          <w:rFonts w:hint="eastAsia"/>
        </w:rPr>
        <w:t>F</w:t>
      </w:r>
      <w:r>
        <w:t>or RAR reception, it makes sense to allow network to configure a separate “</w:t>
      </w:r>
      <w:r>
        <w:rPr>
          <w:i/>
        </w:rPr>
        <w:t>ra-SearchSpace</w:t>
      </w:r>
      <w:r>
        <w:t xml:space="preserve">” in the separate initial DL BWP because the PRACH configuration is provided separately. </w:t>
      </w:r>
    </w:p>
    <w:p>
      <w:r>
        <w:t>For paging monitoring, as indicated by RAN1, the separate initial DL BWP can be used for paging reception. So in our view, even though the separate initial DL BWP contains entire CORESET#0, network is allowed to configure a separate “</w:t>
      </w:r>
      <w:r>
        <w:rPr>
          <w:i/>
        </w:rPr>
        <w:t>pagingSearchSpace</w:t>
      </w:r>
      <w:r>
        <w:t xml:space="preserve">” configuration of the separate initial DL BWP. In this case, RedCap UE will ignore the </w:t>
      </w:r>
      <w:r>
        <w:rPr>
          <w:i/>
        </w:rPr>
        <w:t>pagingSearchSpace</w:t>
      </w:r>
      <w:r>
        <w:t xml:space="preserve"> configuration provided in legacy initial DL BWP.</w:t>
      </w:r>
    </w:p>
    <w:p>
      <w:pPr>
        <w:rPr>
          <w:rFonts w:hint="eastAsia"/>
        </w:rPr>
      </w:pPr>
      <w:r>
        <w:t xml:space="preserve">In summary, </w:t>
      </w:r>
      <w:r>
        <w:rPr>
          <w:rFonts w:hint="eastAsia" w:eastAsia="宋体"/>
          <w:lang w:val="en-US" w:eastAsia="zh-CN"/>
        </w:rPr>
        <w:t>Scenario 1 can be supported by RAN4</w:t>
      </w:r>
      <w:r>
        <w:t xml:space="preserve">. </w:t>
      </w:r>
    </w:p>
    <w:p>
      <w:pPr>
        <w:tabs>
          <w:tab w:val="left" w:pos="1276"/>
        </w:tabs>
        <w:ind w:left="1273" w:hanging="1269" w:hangingChars="634"/>
        <w:rPr>
          <w:b/>
        </w:rPr>
      </w:pPr>
      <w:r>
        <w:rPr>
          <w:b/>
        </w:rPr>
        <w:t>Proposal 1:</w:t>
      </w:r>
      <w:r>
        <w:rPr>
          <w:rFonts w:hint="eastAsia" w:eastAsia="宋体"/>
          <w:b/>
          <w:lang w:val="en-US" w:eastAsia="zh-CN"/>
        </w:rPr>
        <w:t xml:space="preserve"> </w:t>
      </w:r>
      <w:r>
        <w:rPr>
          <w:b/>
        </w:rPr>
        <w:t xml:space="preserve">Confirm </w:t>
      </w:r>
      <w:r>
        <w:rPr>
          <w:rFonts w:hint="eastAsia" w:eastAsia="宋体"/>
          <w:b/>
          <w:lang w:val="en-US" w:eastAsia="zh-CN"/>
        </w:rPr>
        <w:t xml:space="preserve">that </w:t>
      </w:r>
      <w:r>
        <w:rPr>
          <w:b/>
        </w:rPr>
        <w:t xml:space="preserve">Scenario 1 (separate initial DL BWP contains CD-SSB and CORESET#0) </w:t>
      </w:r>
      <w:r>
        <w:rPr>
          <w:rFonts w:hint="eastAsia" w:eastAsia="宋体"/>
          <w:b/>
          <w:lang w:val="en-US" w:eastAsia="zh-CN"/>
        </w:rPr>
        <w:t>can be</w:t>
      </w:r>
      <w:r>
        <w:rPr>
          <w:b/>
        </w:rPr>
        <w:t xml:space="preserve"> supported.</w:t>
      </w:r>
    </w:p>
    <w:p>
      <w:pPr>
        <w:pStyle w:val="2"/>
        <w:widowControl/>
        <w:numPr>
          <w:ilvl w:val="1"/>
          <w:numId w:val="6"/>
        </w:numPr>
        <w:pBdr>
          <w:top w:val="single" w:color="auto" w:sz="12" w:space="3"/>
        </w:pBdr>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Scenario 2</w:t>
      </w:r>
    </w:p>
    <w:p>
      <w:r>
        <w:t xml:space="preserve">Except Scenario 1, RAN1 LS also mentioned the other case that configured separate initial DL BWP does not contain CD-SSB and CORESET#0. Based on RANP conclusion (see below), in this case, the UE is assumed to perform cell selection/reselection and paging monitoring based on CD-SSB. </w:t>
      </w:r>
    </w:p>
    <w:p>
      <w:pPr>
        <w:rPr>
          <w:rFonts w:ascii="Times New Roman" w:hAnsi="Times New Roman"/>
          <w:color w:val="0070C0"/>
        </w:rPr>
      </w:pPr>
      <w:r>
        <w:rPr>
          <w:rFonts w:ascii="Times New Roman" w:hAnsi="Times New Roman"/>
          <w:color w:val="0070C0"/>
        </w:rPr>
        <w:t xml:space="preserve">RANP conclusion: </w:t>
      </w:r>
    </w:p>
    <w:p>
      <w:pPr>
        <w:rPr>
          <w:rFonts w:ascii="Times New Roman" w:hAnsi="Times New Roman"/>
          <w:color w:val="0070C0"/>
          <w:lang w:eastAsia="en-US"/>
        </w:rPr>
      </w:pPr>
      <w:r>
        <w:rPr>
          <w:rFonts w:ascii="Times New Roman" w:hAnsi="Times New Roman"/>
          <w:color w:val="0070C0"/>
          <w:lang w:eastAsia="en-US"/>
        </w:rPr>
        <w:t>Scheme 1 (i.e. UE in IDLE and INACTIVE monitors paging in an initial BWP associated with CD-SSB) is adopted for further work in Rel-17.</w:t>
      </w:r>
    </w:p>
    <w:p>
      <w:r>
        <w:t xml:space="preserve">In addition, RAN1 agreements also indicate that NCD-SSB is not needed if separate initial DL BWP is configured for random access while not for Paging. </w:t>
      </w:r>
    </w:p>
    <w:p>
      <w:pPr>
        <w:widowControl/>
        <w:spacing w:after="0"/>
        <w:jc w:val="left"/>
        <w:rPr>
          <w:rFonts w:ascii="Times New Roman" w:hAnsi="Times New Roman" w:eastAsia="Batang"/>
          <w:bCs/>
          <w:color w:val="0070C0"/>
          <w:kern w:val="0"/>
          <w:szCs w:val="20"/>
          <w:highlight w:val="green"/>
        </w:rPr>
      </w:pPr>
      <w:r>
        <w:rPr>
          <w:rFonts w:ascii="Times New Roman" w:hAnsi="Times New Roman" w:eastAsia="Batang"/>
          <w:bCs/>
          <w:color w:val="0070C0"/>
          <w:kern w:val="0"/>
          <w:szCs w:val="20"/>
          <w:highlight w:val="green"/>
        </w:rPr>
        <w:t>Agreement:</w:t>
      </w:r>
    </w:p>
    <w:p>
      <w:pPr>
        <w:widowControl/>
        <w:numPr>
          <w:ilvl w:val="0"/>
          <w:numId w:val="10"/>
        </w:numPr>
        <w:spacing w:after="0" w:line="231" w:lineRule="atLeast"/>
        <w:jc w:val="left"/>
        <w:rPr>
          <w:rFonts w:ascii="Times New Roman" w:hAnsi="Times New Roman" w:eastAsia="Microsoft YaHei UI"/>
          <w:bCs/>
          <w:color w:val="0070C0"/>
          <w:kern w:val="0"/>
          <w:szCs w:val="20"/>
        </w:rPr>
      </w:pPr>
      <w:r>
        <w:rPr>
          <w:rFonts w:ascii="Times New Roman" w:hAnsi="Times New Roman" w:eastAsia="Batang"/>
          <w:bCs/>
          <w:color w:val="0070C0"/>
          <w:kern w:val="0"/>
          <w:szCs w:val="20"/>
        </w:rPr>
        <w:t>For FR1,</w:t>
      </w:r>
    </w:p>
    <w:p>
      <w:pPr>
        <w:widowControl/>
        <w:numPr>
          <w:ilvl w:val="1"/>
          <w:numId w:val="10"/>
        </w:numPr>
        <w:spacing w:after="0" w:line="231" w:lineRule="atLeast"/>
        <w:jc w:val="left"/>
        <w:rPr>
          <w:rFonts w:ascii="Times New Roman" w:hAnsi="Times New Roman" w:eastAsia="Batang"/>
          <w:bCs/>
          <w:color w:val="0070C0"/>
          <w:kern w:val="0"/>
          <w:szCs w:val="20"/>
        </w:rPr>
      </w:pPr>
      <w:r>
        <w:rPr>
          <w:rFonts w:ascii="Times New Roman" w:hAnsi="Times New Roman" w:eastAsia="Batang"/>
          <w:bCs/>
          <w:color w:val="0070C0"/>
          <w:kern w:val="0"/>
          <w:szCs w:val="20"/>
        </w:rPr>
        <w:t>For a separate initial DL BWP (if it does not include CD-SSB and the entire CORESET#0) from RAN1 perspective,</w:t>
      </w:r>
    </w:p>
    <w:p>
      <w:pPr>
        <w:widowControl/>
        <w:numPr>
          <w:ilvl w:val="2"/>
          <w:numId w:val="10"/>
        </w:numPr>
        <w:spacing w:after="0" w:line="231" w:lineRule="atLeast"/>
        <w:jc w:val="left"/>
        <w:rPr>
          <w:rFonts w:ascii="Times New Roman" w:hAnsi="Times New Roman"/>
          <w:color w:val="0070C0"/>
          <w:lang w:eastAsia="en-US"/>
        </w:rPr>
      </w:pPr>
      <w:r>
        <w:rPr>
          <w:rFonts w:ascii="Times New Roman" w:hAnsi="Times New Roman" w:eastAsia="Batang"/>
          <w:bCs/>
          <w:color w:val="0070C0"/>
          <w:kern w:val="0"/>
          <w:szCs w:val="20"/>
          <w:highlight w:val="cyan"/>
        </w:rPr>
        <w:t>If it is configured for random access while not for paging in idle/inactive mode, RedCap UE does NOT expect it to contain SSB/CORESET#0/SIB.</w:t>
      </w:r>
    </w:p>
    <w:p>
      <w:pPr>
        <w:widowControl/>
        <w:numPr>
          <w:ilvl w:val="2"/>
          <w:numId w:val="10"/>
        </w:numPr>
        <w:spacing w:after="0" w:line="231" w:lineRule="atLeast"/>
        <w:jc w:val="left"/>
        <w:rPr>
          <w:rFonts w:hint="eastAsia" w:ascii="Times New Roman" w:hAnsi="Times New Roman"/>
          <w:color w:val="0070C0"/>
          <w:lang w:eastAsia="en-US"/>
        </w:rPr>
      </w:pPr>
      <w:r>
        <w:rPr>
          <w:rFonts w:ascii="Times New Roman" w:hAnsi="Times New Roman" w:eastAsia="Batang"/>
          <w:bCs/>
          <w:color w:val="0070C0"/>
          <w:kern w:val="0"/>
          <w:szCs w:val="20"/>
        </w:rPr>
        <w:t>Note: RAN1 assumes REDCAP UE performing Random access in the separate DL BWP does not need to monitor paging in a BWP containing CORESET#0</w:t>
      </w:r>
    </w:p>
    <w:p>
      <w:pPr>
        <w:tabs>
          <w:tab w:val="left" w:pos="1276"/>
        </w:tabs>
        <w:ind w:left="1271" w:hanging="1267" w:hangingChars="633"/>
        <w:rPr>
          <w:rFonts w:hint="eastAsia"/>
        </w:rPr>
      </w:pPr>
      <w:r>
        <w:rPr>
          <w:b/>
        </w:rPr>
        <w:t>Scenario 2:</w:t>
      </w:r>
      <w:r>
        <w:t xml:space="preserve"> </w:t>
      </w:r>
      <w:r>
        <w:tab/>
      </w:r>
      <w:r>
        <w:t xml:space="preserve">Separate initial DL BWP does not contain CD-SSB and CORESET#0, NCD-SSB is not configured (illustrated in Figure 2). </w:t>
      </w:r>
    </w:p>
    <w:p>
      <w:pPr>
        <w:jc w:val="center"/>
      </w:pPr>
      <w:r>
        <w:object>
          <v:shape id="_x0000_i1026" o:spt="75" type="#_x0000_t75" style="height:198.9pt;width:292.5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rPr>
          <w:rFonts w:hint="eastAsia"/>
        </w:rPr>
      </w:pPr>
      <w:r>
        <w:t>In general, Scenario 2 includes following key points:</w:t>
      </w:r>
    </w:p>
    <w:p>
      <w:pPr>
        <w:pStyle w:val="28"/>
        <w:numPr>
          <w:ilvl w:val="0"/>
          <w:numId w:val="11"/>
        </w:numPr>
      </w:pPr>
      <w:r>
        <w:t>The configured separate initial DL BWP is not associated with CD-SSB. From idle/inactive UE’s perspective, there is no SSB transmitted in separate initial DL BWP;</w:t>
      </w:r>
    </w:p>
    <w:p>
      <w:pPr>
        <w:pStyle w:val="28"/>
        <w:numPr>
          <w:ilvl w:val="0"/>
          <w:numId w:val="11"/>
        </w:numPr>
      </w:pPr>
      <w:r>
        <w:t xml:space="preserve">UE performs cell selection/reselection based on CD-SSB, no spec change is needed; </w:t>
      </w:r>
    </w:p>
    <w:p>
      <w:pPr>
        <w:pStyle w:val="28"/>
        <w:numPr>
          <w:ilvl w:val="0"/>
          <w:numId w:val="11"/>
        </w:numPr>
      </w:pPr>
      <w:r>
        <w:t>UE camps on CD-SSB and CORESET#0, UE monitors paging/SIB1/OSI based on the CSS configuration of legacy initial DL BWP;</w:t>
      </w:r>
    </w:p>
    <w:p>
      <w:pPr>
        <w:pStyle w:val="28"/>
        <w:numPr>
          <w:ilvl w:val="0"/>
          <w:numId w:val="11"/>
        </w:numPr>
      </w:pPr>
      <w:r>
        <w:t>UE switches to separate initial DL BWP when the UE initiates RA (e.g. to enter RRC_CONNECTED);</w:t>
      </w:r>
    </w:p>
    <w:p>
      <w:pPr>
        <w:pStyle w:val="28"/>
        <w:numPr>
          <w:ilvl w:val="0"/>
          <w:numId w:val="11"/>
        </w:numPr>
        <w:rPr>
          <w:rFonts w:hint="eastAsia"/>
        </w:rPr>
      </w:pPr>
      <w:r>
        <w:t xml:space="preserve">UE is not expected to monitor paging during RACH procedure. </w:t>
      </w:r>
    </w:p>
    <w:p>
      <w:r>
        <w:t>However, for Scenario 2, the following issues should be discussed:</w:t>
      </w:r>
    </w:p>
    <w:p>
      <w:pPr>
        <w:pStyle w:val="28"/>
        <w:numPr>
          <w:ilvl w:val="0"/>
          <w:numId w:val="12"/>
        </w:numPr>
        <w:ind w:left="1276" w:hanging="1276"/>
      </w:pPr>
      <w:r>
        <w:rPr>
          <w:rFonts w:hint="eastAsia"/>
          <w:lang w:eastAsia="zh-CN"/>
        </w:rPr>
        <w:t>I</w:t>
      </w:r>
      <w:r>
        <w:rPr>
          <w:lang w:eastAsia="zh-CN"/>
        </w:rPr>
        <w:t xml:space="preserve">ssue 1: </w:t>
      </w:r>
      <w:r>
        <w:rPr>
          <w:lang w:eastAsia="zh-CN"/>
        </w:rPr>
        <w:tab/>
      </w:r>
      <w:r>
        <w:rPr>
          <w:lang w:eastAsia="zh-CN"/>
        </w:rPr>
        <w:t xml:space="preserve">How does UE perform SSB measurements during RACH retransmission (for RACH resource selection)? </w:t>
      </w:r>
    </w:p>
    <w:p>
      <w:pPr>
        <w:pStyle w:val="28"/>
        <w:numPr>
          <w:ilvl w:val="0"/>
          <w:numId w:val="12"/>
        </w:numPr>
        <w:ind w:left="1276" w:hanging="1276"/>
      </w:pPr>
      <w:r>
        <w:rPr>
          <w:lang w:eastAsia="zh-CN"/>
        </w:rPr>
        <w:t xml:space="preserve">Issue 2: </w:t>
      </w:r>
      <w:r>
        <w:rPr>
          <w:lang w:eastAsia="zh-CN"/>
        </w:rPr>
        <w:tab/>
      </w:r>
      <w:r>
        <w:rPr>
          <w:lang w:eastAsia="zh-CN"/>
        </w:rPr>
        <w:t>If UE initiates msg1-based on demand SI, whether the UE should switch to the separate initial UL BWP? Or UE sends preamble via legacy initial UL BWP (considering UE receives OSI through legacy initial DL BWP)?</w:t>
      </w:r>
    </w:p>
    <w:p>
      <w:pPr>
        <w:pStyle w:val="28"/>
        <w:numPr>
          <w:ilvl w:val="0"/>
          <w:numId w:val="12"/>
        </w:numPr>
        <w:ind w:left="1276" w:hanging="1276"/>
        <w:rPr>
          <w:rFonts w:hint="eastAsia"/>
        </w:rPr>
      </w:pPr>
      <w:r>
        <w:rPr>
          <w:lang w:eastAsia="zh-CN"/>
        </w:rPr>
        <w:t xml:space="preserve">Issue 3:  How to configure </w:t>
      </w:r>
      <w:r>
        <w:rPr>
          <w:i/>
          <w:lang w:eastAsia="zh-CN"/>
        </w:rPr>
        <w:t>PDCCH-ConfigCommon</w:t>
      </w:r>
      <w:r>
        <w:rPr>
          <w:lang w:eastAsia="zh-CN"/>
        </w:rPr>
        <w:t xml:space="preserve"> in separate initial DL BWP?</w:t>
      </w:r>
    </w:p>
    <w:p>
      <w:r>
        <w:rPr>
          <w:rFonts w:hint="eastAsia"/>
        </w:rPr>
        <w:t>F</w:t>
      </w:r>
      <w:r>
        <w:t>or issue 1, considering only CD-SSB is configured, based on RAN1 agreements, we think it means that upon each Msg1 re</w:t>
      </w:r>
      <w:r>
        <w:rPr>
          <w:rFonts w:hint="eastAsia" w:eastAsia="宋体"/>
          <w:lang w:val="en-US" w:eastAsia="zh-CN"/>
        </w:rPr>
        <w:t>-</w:t>
      </w:r>
      <w:r>
        <w:t xml:space="preserve">transmission, the UE needs to switch back to CD-SSB to measure the SSB, and selects corresponding RACH resource. This may </w:t>
      </w:r>
      <w:r>
        <w:rPr>
          <w:rFonts w:hint="eastAsia" w:eastAsia="宋体"/>
          <w:lang w:val="en-US" w:eastAsia="zh-CN"/>
        </w:rPr>
        <w:t>have impact to</w:t>
      </w:r>
      <w:r>
        <w:t xml:space="preserve"> RAN4</w:t>
      </w:r>
      <w:r>
        <w:rPr>
          <w:rFonts w:hint="eastAsia" w:eastAsia="宋体"/>
          <w:lang w:val="en-US" w:eastAsia="zh-CN"/>
        </w:rPr>
        <w:t xml:space="preserve"> specifications</w:t>
      </w:r>
      <w:r>
        <w:t xml:space="preserve">. </w:t>
      </w:r>
    </w:p>
    <w:p>
      <w:r>
        <w:t>For issue 2, although UE receives OSI within CORESET#0, for RACH procedure initiated due to on-demand SI, we think the UE should also send Msg1 via separate initial UL BWP because the RO configuration of legacy initial BWP may exceed UE capability</w:t>
      </w:r>
      <w:r>
        <w:rPr>
          <w:rFonts w:hint="eastAsia"/>
        </w:rPr>
        <w:t>.</w:t>
      </w:r>
      <w:r>
        <w:t xml:space="preserve"> So for consistency, no matter the RACH procedure is triggered by which scenario, UE should perform RA through separate initial UL BWP. This also implies that separate initial UL BWP can also provide dedicated RACH preamble for Msg1-based on-demand SI.</w:t>
      </w:r>
    </w:p>
    <w:p>
      <w:r>
        <w:rPr>
          <w:rFonts w:hint="eastAsia"/>
        </w:rPr>
        <w:t>F</w:t>
      </w:r>
      <w:r>
        <w:t xml:space="preserve">or issue 3, it is similar to the discussion </w:t>
      </w:r>
      <w:r>
        <w:rPr>
          <w:rFonts w:hint="eastAsia" w:eastAsia="宋体"/>
          <w:lang w:val="en-US" w:eastAsia="zh-CN"/>
        </w:rPr>
        <w:t>for scenario 1</w:t>
      </w:r>
      <w:r>
        <w:t>. However, considering the UE camps on CD-SSB and CORESET#0, for paging/SIB1/OSI, the UE should follow the common search spaces configured by legacy initial DL BWP</w:t>
      </w:r>
      <w:r>
        <w:rPr>
          <w:rFonts w:hint="eastAsia"/>
        </w:rPr>
        <w:t>.</w:t>
      </w:r>
      <w:r>
        <w:t xml:space="preserve"> For separate initial UL BWP, the </w:t>
      </w:r>
      <w:r>
        <w:rPr>
          <w:i/>
        </w:rPr>
        <w:t>PDCCH-ConfigCommon</w:t>
      </w:r>
      <w:r>
        <w:t xml:space="preserve"> only includes CSS configuration for monitoring RAR. </w:t>
      </w:r>
    </w:p>
    <w:p>
      <w:pPr>
        <w:pStyle w:val="28"/>
        <w:numPr>
          <w:ilvl w:val="0"/>
          <w:numId w:val="0"/>
        </w:numPr>
        <w:tabs>
          <w:tab w:val="left" w:pos="1276"/>
        </w:tabs>
        <w:rPr>
          <w:rFonts w:hint="default" w:eastAsia="宋体"/>
          <w:b/>
          <w:lang w:val="en-US" w:eastAsia="zh-CN"/>
        </w:rPr>
      </w:pPr>
      <w:r>
        <w:rPr>
          <w:b/>
        </w:rPr>
        <w:t xml:space="preserve">Proposal </w:t>
      </w:r>
      <w:r>
        <w:rPr>
          <w:rFonts w:hint="eastAsia" w:eastAsia="宋体"/>
          <w:b/>
          <w:lang w:val="en-US" w:eastAsia="zh-CN"/>
        </w:rPr>
        <w:t>2</w:t>
      </w:r>
      <w:r>
        <w:rPr>
          <w:b/>
        </w:rPr>
        <w:t xml:space="preserve">: </w:t>
      </w:r>
      <w:r>
        <w:rPr>
          <w:rFonts w:hint="eastAsia" w:eastAsia="宋体"/>
          <w:b/>
          <w:lang w:val="en-US" w:eastAsia="zh-CN"/>
        </w:rPr>
        <w:t xml:space="preserve"> Scenario 2 may have impact to current RA requirements.</w:t>
      </w:r>
    </w:p>
    <w:p>
      <w:pPr>
        <w:pStyle w:val="2"/>
        <w:widowControl/>
        <w:numPr>
          <w:ilvl w:val="0"/>
          <w:numId w:val="6"/>
        </w:numPr>
        <w:pBdr>
          <w:top w:val="single" w:color="auto" w:sz="12" w:space="3"/>
        </w:pBdr>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hint="eastAsia" w:cs="Arial"/>
          <w:b w:val="0"/>
          <w:bCs w:val="0"/>
          <w:kern w:val="0"/>
          <w:sz w:val="32"/>
          <w:szCs w:val="36"/>
        </w:rPr>
        <w:t>onclusion</w:t>
      </w:r>
      <w:r>
        <w:rPr>
          <w:rFonts w:cs="Arial"/>
          <w:b w:val="0"/>
          <w:bCs w:val="0"/>
          <w:kern w:val="0"/>
          <w:sz w:val="32"/>
          <w:szCs w:val="36"/>
        </w:rPr>
        <w:t xml:space="preserve"> and proposals</w:t>
      </w:r>
    </w:p>
    <w:p>
      <w:pPr>
        <w:pStyle w:val="28"/>
        <w:numPr>
          <w:ilvl w:val="0"/>
          <w:numId w:val="0"/>
        </w:numPr>
        <w:tabs>
          <w:tab w:val="left" w:pos="1276"/>
        </w:tabs>
        <w:rPr>
          <w:rFonts w:hint="eastAsia"/>
          <w:b/>
        </w:rPr>
      </w:pPr>
      <w:bookmarkStart w:id="2" w:name="_Toc535476034"/>
      <w:r>
        <w:rPr>
          <w:b/>
        </w:rPr>
        <w:t xml:space="preserve">Proposal 1: Confirm </w:t>
      </w:r>
      <w:r>
        <w:rPr>
          <w:rFonts w:hint="eastAsia" w:eastAsia="宋体"/>
          <w:b/>
          <w:lang w:val="en-US" w:eastAsia="zh-CN"/>
        </w:rPr>
        <w:t xml:space="preserve">that </w:t>
      </w:r>
      <w:r>
        <w:rPr>
          <w:b/>
        </w:rPr>
        <w:t xml:space="preserve">Scenario 1 (separate initial DL BWP contains CD-SSB and CORESET#0) </w:t>
      </w:r>
      <w:r>
        <w:rPr>
          <w:rFonts w:hint="eastAsia" w:eastAsia="宋体"/>
          <w:b/>
          <w:lang w:val="en-US" w:eastAsia="zh-CN"/>
        </w:rPr>
        <w:t>can be</w:t>
      </w:r>
      <w:r>
        <w:rPr>
          <w:b/>
        </w:rPr>
        <w:t xml:space="preserve"> supported.</w:t>
      </w:r>
    </w:p>
    <w:p>
      <w:pPr>
        <w:tabs>
          <w:tab w:val="left" w:pos="1276"/>
        </w:tabs>
        <w:ind w:left="1273" w:hanging="1269" w:hangingChars="634"/>
        <w:rPr>
          <w:rFonts w:hint="eastAsia"/>
          <w:b/>
        </w:rPr>
      </w:pPr>
      <w:r>
        <w:rPr>
          <w:b/>
        </w:rPr>
        <w:t>Proposal 2:</w:t>
      </w:r>
      <w:r>
        <w:rPr>
          <w:rFonts w:hint="eastAsia" w:eastAsia="宋体"/>
          <w:b/>
          <w:lang w:val="en-US" w:eastAsia="zh-CN"/>
        </w:rPr>
        <w:t xml:space="preserve"> Scenario 2 may have impact to current RA requirements.</w:t>
      </w:r>
      <w:r>
        <w:rPr>
          <w:b/>
        </w:rPr>
        <w:t xml:space="preserve"> </w:t>
      </w:r>
    </w:p>
    <w:bookmarkEnd w:id="2"/>
    <w:p>
      <w:pPr>
        <w:pStyle w:val="2"/>
        <w:widowControl/>
        <w:numPr>
          <w:ilvl w:val="0"/>
          <w:numId w:val="6"/>
        </w:numPr>
        <w:pBdr>
          <w:top w:val="single" w:color="auto" w:sz="12" w:space="3"/>
        </w:pBdr>
        <w:overflowPunct w:val="0"/>
        <w:autoSpaceDE w:val="0"/>
        <w:autoSpaceDN w:val="0"/>
        <w:adjustRightInd w:val="0"/>
        <w:spacing w:before="156" w:after="180" w:line="240" w:lineRule="auto"/>
        <w:jc w:val="left"/>
        <w:textAlignment w:val="baseline"/>
      </w:pPr>
      <w:r>
        <w:rPr>
          <w:rFonts w:cs="Arial"/>
          <w:b w:val="0"/>
          <w:bCs w:val="0"/>
          <w:kern w:val="0"/>
          <w:sz w:val="32"/>
          <w:szCs w:val="36"/>
        </w:rPr>
        <w:t>Reference</w:t>
      </w:r>
    </w:p>
    <w:p>
      <w:pPr>
        <w:ind w:left="284" w:hanging="284" w:hangingChars="142"/>
      </w:pPr>
      <w:r>
        <w:rPr>
          <w:rFonts w:hint="eastAsia"/>
        </w:rPr>
        <w:t>[</w:t>
      </w:r>
      <w:r>
        <w:t xml:space="preserve">1] R2-2111545   </w:t>
      </w:r>
      <w:r>
        <w:rPr>
          <w:rFonts w:cs="Arial"/>
          <w:bCs/>
          <w:color w:val="000000"/>
          <w:szCs w:val="20"/>
          <w:lang w:val="en-GB"/>
        </w:rPr>
        <w:t xml:space="preserve">Reply LS on the use of NCD-SSB instead of CD-SSB for RedCap UEs </w:t>
      </w:r>
      <w:r>
        <w:rPr>
          <w:rFonts w:cs="Arial"/>
          <w:bCs/>
          <w:color w:val="000000"/>
          <w:szCs w:val="20"/>
          <w:lang w:val="en-GB"/>
        </w:rPr>
        <w:tab/>
      </w:r>
      <w:r>
        <w:rPr>
          <w:rFonts w:cs="Arial"/>
          <w:bCs/>
          <w:color w:val="000000"/>
          <w:szCs w:val="20"/>
          <w:lang w:val="en-GB"/>
        </w:rPr>
        <w:t>Ericsson from RAN2  to RAN1  cc RAN4;</w:t>
      </w:r>
    </w:p>
    <w:p>
      <w:pPr>
        <w:ind w:left="284" w:hanging="284" w:hangingChars="142"/>
      </w:pPr>
      <w:r>
        <w:t>[2] R1-2112802</w:t>
      </w:r>
      <w:r>
        <w:tab/>
      </w:r>
      <w:r>
        <w:t>LS on use of NCD-SSB in initial DL BWP used for paging for RedCap UE</w:t>
      </w:r>
      <w:r>
        <w:tab/>
      </w:r>
      <w:r>
        <w:t>Ericsson from RAN1  to RAN2, RAN4.</w:t>
      </w:r>
    </w:p>
    <w:p>
      <w:pPr>
        <w:ind w:left="284" w:hanging="284" w:hangingChars="142"/>
      </w:pPr>
      <w:r>
        <w:rPr>
          <w:rFonts w:hint="eastAsia"/>
        </w:rPr>
        <w:t>[</w:t>
      </w:r>
      <w:r>
        <w:t>3] RP-213689</w:t>
      </w:r>
      <w:r>
        <w:tab/>
      </w:r>
      <w:r>
        <w:t>Moderator's summary of discussion [94e-39-R17-RedCap-WI]</w:t>
      </w:r>
      <w:r>
        <w:tab/>
      </w:r>
      <w:r>
        <w:t>Intel</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r>
        <w:rPr>
          <w:lang w:val="en-GB"/>
        </w:rPr>
        <w:t>[4] RP-213046</w:t>
      </w:r>
      <w:r>
        <w:rPr>
          <w:lang w:val="en-GB"/>
        </w:rPr>
        <w:tab/>
      </w:r>
      <w:r>
        <w:rPr>
          <w:lang w:val="en-GB"/>
        </w:rPr>
        <w:t>RedCap IDLE mode operation</w:t>
      </w:r>
      <w:r>
        <w:rPr>
          <w:lang w:val="en-GB"/>
        </w:rPr>
        <w:tab/>
      </w:r>
      <w:r>
        <w:rPr>
          <w:lang w:val="en-GB"/>
        </w:rPr>
        <w:t>Qualcomm Incorporated</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pStyle w:val="30"/>
        <w:jc w:val="both"/>
        <w:rPr>
          <w:rFonts w:hint="eastAsia"/>
          <w:lang w:val="en-US" w:eastAsia="zh-CN"/>
        </w:rPr>
        <w:sectPr>
          <w:pgSz w:w="11907" w:h="16840"/>
          <w:pgMar w:top="1412" w:right="1140" w:bottom="1140" w:left="1140" w:header="680" w:footer="567" w:gutter="0"/>
          <w:cols w:space="708" w:num="1"/>
          <w:docGrid w:linePitch="360" w:charSpace="0"/>
        </w:sectPr>
      </w:pPr>
    </w:p>
    <w:p>
      <w:pPr>
        <w:pStyle w:val="30"/>
        <w:jc w:val="both"/>
        <w:rPr>
          <w:rFonts w:hint="default" w:eastAsia="宋体"/>
          <w:lang w:val="en-US" w:eastAsia="zh-CN"/>
        </w:rPr>
      </w:pPr>
      <w:r>
        <w:rPr>
          <w:rFonts w:hint="eastAsia"/>
          <w:lang w:val="en-US" w:eastAsia="zh-CN"/>
        </w:rPr>
        <w:t>Draft 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bookmarkStart w:id="3" w:name="DocumentFor"/>
      <w:bookmarkEnd w:id="3"/>
      <w:bookmarkStart w:id="4" w:name="Title"/>
      <w:bookmarkEnd w:id="4"/>
    </w:p>
    <w:p>
      <w:pPr>
        <w:spacing w:after="60"/>
        <w:ind w:left="1985" w:hanging="1985"/>
        <w:rPr>
          <w:rFonts w:eastAsia="宋体"/>
          <w:b/>
          <w:lang w:eastAsia="zh-CN"/>
        </w:rPr>
      </w:pPr>
      <w:r>
        <w:rPr>
          <w:b/>
        </w:rPr>
        <w:t>Title:</w:t>
      </w:r>
      <w:r>
        <w:rPr>
          <w:b/>
        </w:rPr>
        <w:tab/>
      </w:r>
      <w:r>
        <w:rPr>
          <w:rFonts w:hint="eastAsia"/>
          <w:b/>
        </w:rPr>
        <w:t>Reply LS on use of NCD-SSB or CSI-RS in DL BWPs for RedCap UE</w:t>
      </w:r>
    </w:p>
    <w:p>
      <w:pPr>
        <w:spacing w:after="60"/>
        <w:ind w:left="1985" w:hanging="1985"/>
        <w:rPr>
          <w:rFonts w:eastAsia="宋体"/>
          <w:bCs/>
          <w:lang w:eastAsia="zh-CN"/>
        </w:rPr>
      </w:pPr>
      <w:r>
        <w:rPr>
          <w:b/>
        </w:rPr>
        <w:t>Reply To:</w:t>
      </w:r>
      <w:r>
        <w:rPr>
          <w:b/>
        </w:rPr>
        <w:tab/>
      </w:r>
      <w:r>
        <w:rPr>
          <w:rFonts w:hint="eastAsia"/>
          <w:bCs/>
          <w:lang w:eastAsia="zh-CN"/>
        </w:rPr>
        <w:t>R1-2112802 (R4-2200044)</w:t>
      </w:r>
    </w:p>
    <w:p>
      <w:pPr>
        <w:spacing w:after="60"/>
        <w:ind w:left="1985" w:hanging="1985"/>
        <w:rPr>
          <w:rFonts w:eastAsia="宋体"/>
          <w:bCs/>
          <w:lang w:eastAsia="zh-CN"/>
        </w:rPr>
      </w:pPr>
      <w:r>
        <w:rPr>
          <w:b/>
        </w:rPr>
        <w:t>Release:</w:t>
      </w:r>
      <w:r>
        <w:rPr>
          <w:bCs/>
        </w:rPr>
        <w:tab/>
      </w:r>
      <w:r>
        <w:rPr>
          <w:bCs/>
        </w:rPr>
        <w:t>Rel-1</w:t>
      </w:r>
      <w:r>
        <w:rPr>
          <w:rFonts w:hint="eastAsia"/>
          <w:bCs/>
          <w:lang w:eastAsia="zh-CN"/>
        </w:rPr>
        <w:t>7</w:t>
      </w:r>
    </w:p>
    <w:p>
      <w:pPr>
        <w:spacing w:after="60"/>
        <w:ind w:left="1985" w:hanging="1985"/>
        <w:rPr>
          <w:bCs/>
        </w:rPr>
      </w:pPr>
      <w:r>
        <w:rPr>
          <w:b/>
        </w:rPr>
        <w:t>Work Item:</w:t>
      </w:r>
      <w:r>
        <w:rPr>
          <w:bCs/>
        </w:rPr>
        <w:tab/>
      </w:r>
      <w:r>
        <w:rPr>
          <w:rFonts w:hint="eastAsia"/>
          <w:bCs/>
        </w:rPr>
        <w:t>NR_redcap-Core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eastAsia="宋体"/>
          <w:b/>
          <w:lang w:eastAsia="zh-CN"/>
        </w:rPr>
      </w:pPr>
      <w:r>
        <w:rPr>
          <w:b/>
        </w:rPr>
        <w:t>To:</w:t>
      </w:r>
      <w:r>
        <w:rPr>
          <w:b/>
        </w:rPr>
        <w:tab/>
      </w:r>
      <w:r>
        <w:rPr>
          <w:bCs/>
        </w:rPr>
        <w:t>RAN WG</w:t>
      </w:r>
      <w:r>
        <w:rPr>
          <w:rFonts w:hint="eastAsia"/>
          <w:bCs/>
          <w:lang w:eastAsia="zh-CN"/>
        </w:rPr>
        <w:t>1</w:t>
      </w:r>
    </w:p>
    <w:p>
      <w:pPr>
        <w:tabs>
          <w:tab w:val="left" w:pos="720"/>
          <w:tab w:val="left" w:pos="1440"/>
          <w:tab w:val="left" w:pos="4425"/>
        </w:tabs>
        <w:spacing w:after="60"/>
        <w:ind w:left="1985" w:hanging="1985"/>
        <w:rPr>
          <w:rFonts w:eastAsia="宋体"/>
          <w:bCs/>
          <w:lang w:eastAsia="zh-CN"/>
        </w:rPr>
      </w:pPr>
      <w:r>
        <w:rPr>
          <w:b/>
        </w:rPr>
        <w:t>Cc:</w:t>
      </w:r>
      <w:r>
        <w:rPr>
          <w:bCs/>
        </w:rPr>
        <w:tab/>
      </w:r>
      <w:r>
        <w:rPr>
          <w:bCs/>
        </w:rPr>
        <w:tab/>
      </w:r>
      <w:r>
        <w:rPr>
          <w:bCs/>
        </w:rPr>
        <w:tab/>
      </w:r>
      <w:r>
        <w:rPr>
          <w:bCs/>
        </w:rPr>
        <w:t>RAN WG</w:t>
      </w:r>
      <w:r>
        <w:rPr>
          <w:rFonts w:hint="eastAsia" w:eastAsia="宋体"/>
          <w:bCs/>
          <w:lang w:eastAsia="zh-CN"/>
        </w:rPr>
        <w:t>2</w:t>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eastAsia="宋体"/>
          <w:b/>
          <w:lang w:eastAsia="zh-CN"/>
        </w:rPr>
      </w:pPr>
      <w:r>
        <w:rPr>
          <w:b/>
        </w:rPr>
        <w:t>Name:</w:t>
      </w:r>
      <w:r>
        <w:rPr>
          <w:b/>
        </w:rPr>
        <w:tab/>
      </w:r>
      <w:r>
        <w:rPr>
          <w:rFonts w:hint="eastAsia"/>
          <w:b/>
          <w:lang w:eastAsia="zh-CN"/>
        </w:rPr>
        <w:t>Richie Leo</w:t>
      </w:r>
    </w:p>
    <w:p>
      <w:pPr>
        <w:spacing w:after="60"/>
        <w:ind w:left="1985" w:hanging="1985"/>
        <w:rPr>
          <w:rFonts w:eastAsia="宋体"/>
          <w:b/>
          <w:lang w:eastAsia="zh-CN"/>
        </w:rPr>
      </w:pPr>
      <w:r>
        <w:rPr>
          <w:b/>
        </w:rPr>
        <w:t>E-mail Address:</w:t>
      </w:r>
      <w:r>
        <w:rPr>
          <w:b/>
        </w:rPr>
        <w:tab/>
      </w:r>
      <w:r>
        <w:rPr>
          <w:rFonts w:hint="eastAsia"/>
          <w:b/>
          <w:lang w:eastAsia="zh-CN"/>
        </w:rPr>
        <w:t>richie.leo@zte.com.cn</w:t>
      </w:r>
    </w:p>
    <w:p>
      <w:pPr>
        <w:spacing w:after="60"/>
        <w:ind w:left="1985" w:hanging="1985"/>
        <w:rPr>
          <w:b/>
        </w:rPr>
      </w:pPr>
    </w:p>
    <w:p>
      <w:pPr>
        <w:spacing w:after="60"/>
        <w:ind w:left="1985" w:hanging="1985"/>
        <w:rPr>
          <w:rFonts w:eastAsia="宋体"/>
          <w:bCs/>
          <w:lang w:eastAsia="zh-CN"/>
        </w:rPr>
      </w:pPr>
      <w:r>
        <w:rPr>
          <w:b/>
        </w:rPr>
        <w:t>Attachments:</w:t>
      </w:r>
      <w:r>
        <w:rPr>
          <w:bCs/>
        </w:rPr>
        <w:tab/>
      </w:r>
    </w:p>
    <w:p>
      <w:pPr>
        <w:pBdr>
          <w:bottom w:val="single" w:color="auto" w:sz="4" w:space="1"/>
        </w:pBdr>
      </w:pPr>
    </w:p>
    <w:p/>
    <w:p>
      <w:pPr>
        <w:rPr>
          <w:b/>
        </w:rPr>
      </w:pPr>
      <w:r>
        <w:rPr>
          <w:b/>
        </w:rPr>
        <w:t xml:space="preserve">1. </w:t>
      </w:r>
      <w:r>
        <w:rPr>
          <w:rFonts w:hint="eastAsia"/>
          <w:b/>
          <w:lang w:eastAsia="zh-CN"/>
        </w:rPr>
        <w:t>Overall Description</w:t>
      </w:r>
      <w:r>
        <w:rPr>
          <w:b/>
        </w:rPr>
        <w:t>:</w:t>
      </w:r>
    </w:p>
    <w:p>
      <w:pPr>
        <w:pStyle w:val="28"/>
        <w:spacing w:line="240" w:lineRule="auto"/>
        <w:ind w:left="0" w:leftChars="0" w:firstLine="0" w:firstLineChars="0"/>
        <w:jc w:val="both"/>
        <w:rPr>
          <w:rFonts w:eastAsiaTheme="minorEastAsia"/>
          <w:bCs/>
          <w:iCs/>
          <w:highlight w:val="none"/>
        </w:rPr>
      </w:pPr>
      <w:r>
        <w:rPr>
          <w:rFonts w:hint="eastAsia" w:cs="Times New Roman"/>
          <w:lang w:eastAsia="zh-CN"/>
        </w:rPr>
        <w:t xml:space="preserve">RAN4 would like to thank RAN1 for their LS on the use of NCD-SSB for RedCap UEs [1]. </w:t>
      </w:r>
      <w:r>
        <w:rPr>
          <w:rFonts w:hint="eastAsia" w:eastAsia="宋体"/>
          <w:bCs/>
          <w:highlight w:val="none"/>
          <w:lang w:eastAsia="zh-CN"/>
        </w:rPr>
        <w:t xml:space="preserve"> </w:t>
      </w:r>
    </w:p>
    <w:p>
      <w:pPr>
        <w:rPr>
          <w:rFonts w:hint="default" w:eastAsia="宋体"/>
          <w:b w:val="0"/>
          <w:bCs/>
          <w:highlight w:val="none"/>
          <w:lang w:val="en-US" w:eastAsia="zh-CN"/>
        </w:rPr>
      </w:pPr>
      <w:r>
        <w:rPr>
          <w:rFonts w:hint="eastAsia" w:eastAsia="宋体"/>
          <w:b w:val="0"/>
          <w:bCs/>
          <w:highlight w:val="none"/>
          <w:lang w:val="en-US" w:eastAsia="zh-CN"/>
        </w:rPr>
        <w:t>It is RAN4 understanding that Scenario 1 can be supported. Scenario 2 may have impact to current RAN4 specifications.</w:t>
      </w:r>
    </w:p>
    <w:p>
      <w:pPr>
        <w:rPr>
          <w:b/>
          <w:highlight w:val="none"/>
        </w:rPr>
      </w:pPr>
    </w:p>
    <w:p>
      <w:pPr>
        <w:numPr>
          <w:ilvl w:val="0"/>
          <w:numId w:val="13"/>
        </w:numPr>
        <w:rPr>
          <w:b/>
        </w:rPr>
      </w:pPr>
      <w:r>
        <w:rPr>
          <w:b/>
        </w:rPr>
        <w:t>Actions:</w:t>
      </w:r>
    </w:p>
    <w:p>
      <w:pPr>
        <w:ind w:left="1985" w:hanging="1985"/>
        <w:rPr>
          <w:b/>
        </w:rPr>
      </w:pPr>
      <w:r>
        <w:rPr>
          <w:b/>
        </w:rPr>
        <w:t>To RAN WG</w:t>
      </w:r>
      <w:r>
        <w:rPr>
          <w:rFonts w:hint="eastAsia"/>
          <w:b/>
          <w:lang w:eastAsia="zh-CN"/>
        </w:rPr>
        <w:t>1</w:t>
      </w:r>
      <w:r>
        <w:rPr>
          <w:b/>
        </w:rPr>
        <w:t xml:space="preserve"> group.</w:t>
      </w:r>
    </w:p>
    <w:p>
      <w:pPr>
        <w:ind w:left="993" w:hanging="993"/>
      </w:pPr>
      <w:r>
        <w:rPr>
          <w:b/>
        </w:rPr>
        <w:t xml:space="preserve">ACTION: </w:t>
      </w:r>
      <w:r>
        <w:rPr>
          <w:b/>
        </w:rPr>
        <w:tab/>
      </w:r>
      <w:r>
        <w:t>RAN4 kindly asks RAN</w:t>
      </w:r>
      <w:r>
        <w:rPr>
          <w:rFonts w:hint="eastAsia"/>
          <w:lang w:eastAsia="zh-CN"/>
        </w:rPr>
        <w:t>1</w:t>
      </w:r>
      <w:r>
        <w:t xml:space="preserve"> to</w:t>
      </w:r>
      <w:r>
        <w:rPr>
          <w:rFonts w:hint="eastAsia"/>
          <w:lang w:eastAsia="zh-CN"/>
        </w:rPr>
        <w:t xml:space="preserve"> take the above feedback into account on their future work.</w:t>
      </w:r>
    </w:p>
    <w:p>
      <w:pPr>
        <w:rPr>
          <w:b/>
          <w:lang w:eastAsia="zh-CN"/>
        </w:rPr>
      </w:pPr>
    </w:p>
    <w:p>
      <w:pPr>
        <w:numPr>
          <w:ilvl w:val="0"/>
          <w:numId w:val="14"/>
        </w:numPr>
      </w:pPr>
      <w:r>
        <w:rPr>
          <w:b/>
        </w:rPr>
        <w:t>Date of Next TSG-RAN WG4 Meetings:</w:t>
      </w:r>
    </w:p>
    <w:p>
      <w:pPr>
        <w:tabs>
          <w:tab w:val="left" w:pos="5103"/>
        </w:tabs>
        <w:ind w:left="2268" w:hanging="2268"/>
        <w:rPr>
          <w:lang w:eastAsia="zh-CN"/>
        </w:rPr>
      </w:pPr>
      <w:r>
        <w:t>TSG-RAN4 #</w:t>
      </w:r>
      <w:r>
        <w:rPr>
          <w:rFonts w:hint="eastAsia"/>
          <w:lang w:eastAsia="zh-CN"/>
        </w:rPr>
        <w:t>101-bis-e</w:t>
      </w:r>
      <w:r>
        <w:tab/>
      </w:r>
      <w:r>
        <w:tab/>
      </w:r>
      <w:r>
        <w:tab/>
      </w:r>
      <w:r>
        <w:rPr>
          <w:rFonts w:hint="eastAsia"/>
          <w:lang w:eastAsia="zh-CN"/>
        </w:rPr>
        <w:t>17</w:t>
      </w:r>
      <w:r>
        <w:rPr>
          <w:rFonts w:hint="eastAsia"/>
          <w:vertAlign w:val="superscript"/>
          <w:lang w:eastAsia="zh-CN"/>
        </w:rPr>
        <w:t>th</w:t>
      </w:r>
      <w:r>
        <w:t xml:space="preserve"> – </w:t>
      </w:r>
      <w:r>
        <w:rPr>
          <w:rFonts w:hint="eastAsia" w:eastAsia="宋体"/>
          <w:lang w:eastAsia="zh-CN"/>
        </w:rPr>
        <w:t>25</w:t>
      </w:r>
      <w:r>
        <w:rPr>
          <w:vertAlign w:val="superscript"/>
        </w:rPr>
        <w:t>th</w:t>
      </w:r>
      <w:r>
        <w:t xml:space="preserve"> </w:t>
      </w:r>
      <w:r>
        <w:rPr>
          <w:rFonts w:hint="eastAsia"/>
          <w:lang w:eastAsia="zh-CN"/>
        </w:rPr>
        <w:t xml:space="preserve">January </w:t>
      </w:r>
      <w:r>
        <w:t>202</w:t>
      </w:r>
      <w:r>
        <w:rPr>
          <w:rFonts w:hint="eastAsia"/>
          <w:lang w:eastAsia="zh-CN"/>
        </w:rPr>
        <w:t>2</w:t>
      </w:r>
      <w:r>
        <w:t xml:space="preserve"> </w:t>
      </w:r>
      <w:r>
        <w:tab/>
      </w:r>
      <w:r>
        <w:tab/>
      </w:r>
      <w:r>
        <w:rPr>
          <w:rFonts w:hint="eastAsia"/>
          <w:lang w:eastAsia="zh-CN"/>
        </w:rPr>
        <w:t>Online</w:t>
      </w:r>
    </w:p>
    <w:p>
      <w:pPr>
        <w:tabs>
          <w:tab w:val="left" w:pos="5103"/>
        </w:tabs>
        <w:ind w:left="2268" w:hanging="2268"/>
        <w:rPr>
          <w:lang w:eastAsia="zh-CN"/>
        </w:rPr>
      </w:pPr>
      <w:r>
        <w:t>TSG-RAN4 #</w:t>
      </w:r>
      <w:r>
        <w:rPr>
          <w:rFonts w:hint="eastAsia"/>
          <w:lang w:eastAsia="zh-CN"/>
        </w:rPr>
        <w:t>102-e</w:t>
      </w:r>
      <w:r>
        <w:tab/>
      </w:r>
      <w:r>
        <w:tab/>
      </w:r>
      <w:r>
        <w:rPr>
          <w:rFonts w:hint="eastAsia" w:eastAsia="宋体"/>
          <w:lang w:eastAsia="zh-CN"/>
        </w:rPr>
        <w:t>21</w:t>
      </w:r>
      <w:r>
        <w:rPr>
          <w:rFonts w:hint="eastAsia"/>
          <w:vertAlign w:val="superscript"/>
          <w:lang w:eastAsia="zh-CN"/>
        </w:rPr>
        <w:t xml:space="preserve">th </w:t>
      </w:r>
      <w:r>
        <w:rPr>
          <w:rFonts w:hint="eastAsia"/>
          <w:lang w:eastAsia="zh-CN"/>
        </w:rPr>
        <w:t>February</w:t>
      </w:r>
      <w:r>
        <w:t xml:space="preserve"> – </w:t>
      </w:r>
      <w:r>
        <w:rPr>
          <w:rFonts w:hint="eastAsia" w:eastAsia="宋体"/>
          <w:lang w:eastAsia="zh-CN"/>
        </w:rPr>
        <w:t>03</w:t>
      </w:r>
      <w:r>
        <w:rPr>
          <w:rFonts w:hint="eastAsia" w:eastAsia="宋体"/>
          <w:vertAlign w:val="superscript"/>
          <w:lang w:eastAsia="zh-CN"/>
        </w:rPr>
        <w:t>rd</w:t>
      </w:r>
      <w:r>
        <w:t xml:space="preserve"> </w:t>
      </w:r>
      <w:r>
        <w:rPr>
          <w:rFonts w:hint="eastAsia" w:eastAsia="宋体"/>
          <w:lang w:eastAsia="zh-CN"/>
        </w:rPr>
        <w:t>March</w:t>
      </w:r>
      <w:r>
        <w:rPr>
          <w:rFonts w:hint="eastAsia"/>
          <w:lang w:eastAsia="zh-CN"/>
        </w:rPr>
        <w:t xml:space="preserve"> </w:t>
      </w:r>
      <w:r>
        <w:t>202</w:t>
      </w:r>
      <w:r>
        <w:rPr>
          <w:rFonts w:hint="eastAsia"/>
          <w:lang w:eastAsia="zh-CN"/>
        </w:rPr>
        <w:t>2</w:t>
      </w:r>
      <w:r>
        <w:t xml:space="preserve"> </w:t>
      </w:r>
      <w:r>
        <w:tab/>
      </w:r>
      <w:r>
        <w:tab/>
      </w:r>
      <w:r>
        <w:rPr>
          <w:rFonts w:hint="eastAsia"/>
          <w:lang w:eastAsia="zh-CN"/>
        </w:rPr>
        <w:t>Online</w:t>
      </w:r>
    </w:p>
    <w:p>
      <w:pPr>
        <w:tabs>
          <w:tab w:val="left" w:pos="5103"/>
        </w:tabs>
        <w:ind w:left="2268" w:hanging="2268"/>
        <w:rPr>
          <w:lang w:eastAsia="zh-CN"/>
        </w:rPr>
      </w:pPr>
    </w:p>
    <w:p>
      <w:pPr>
        <w:numPr>
          <w:ilvl w:val="0"/>
          <w:numId w:val="14"/>
        </w:numPr>
        <w:rPr>
          <w:rFonts w:cs="Times New Roman"/>
          <w:b/>
          <w:szCs w:val="20"/>
        </w:rPr>
      </w:pPr>
      <w:r>
        <w:rPr>
          <w:rFonts w:cs="Times New Roman"/>
          <w:b/>
          <w:szCs w:val="20"/>
        </w:rPr>
        <w:t>References:</w:t>
      </w:r>
    </w:p>
    <w:p>
      <w:pPr>
        <w:numPr>
          <w:ilvl w:val="0"/>
          <w:numId w:val="15"/>
        </w:numPr>
        <w:rPr>
          <w:rFonts w:hint="eastAsia" w:eastAsia="宋体"/>
          <w:lang w:val="en-US" w:eastAsia="zh-CN"/>
        </w:rPr>
      </w:pPr>
      <w:r>
        <w:rPr>
          <w:rFonts w:hint="eastAsia" w:eastAsia="宋体"/>
          <w:lang w:eastAsia="zh-CN"/>
        </w:rPr>
        <w:t>R4-2200044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 w:name="Microsoft YaHei UI">
    <w:altName w:val="宋体"/>
    <w:panose1 w:val="020B0503020204020204"/>
    <w:charset w:val="86"/>
    <w:family w:val="swiss"/>
    <w:pitch w:val="default"/>
    <w:sig w:usb0="00000000" w:usb1="00000000" w:usb2="00000016" w:usb3="00000000" w:csb0="0004001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B564EF"/>
    <w:multiLevelType w:val="singleLevel"/>
    <w:tmpl w:val="8CB564EF"/>
    <w:lvl w:ilvl="0" w:tentative="0">
      <w:start w:val="1"/>
      <w:numFmt w:val="decimal"/>
      <w:suff w:val="space"/>
      <w:lvlText w:val="[%1]"/>
      <w:lvlJc w:val="left"/>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7AE5DB1"/>
    <w:multiLevelType w:val="multilevel"/>
    <w:tmpl w:val="07AE5DB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5C152A2"/>
    <w:multiLevelType w:val="multilevel"/>
    <w:tmpl w:val="15C152A2"/>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A6F40E1"/>
    <w:multiLevelType w:val="multilevel"/>
    <w:tmpl w:val="1A6F40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72A2B7E"/>
    <w:multiLevelType w:val="multilevel"/>
    <w:tmpl w:val="272A2B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756A10"/>
    <w:multiLevelType w:val="singleLevel"/>
    <w:tmpl w:val="3E756A10"/>
    <w:lvl w:ilvl="0" w:tentative="0">
      <w:start w:val="2"/>
      <w:numFmt w:val="decimal"/>
      <w:suff w:val="space"/>
      <w:lvlText w:val="%1."/>
      <w:lvlJc w:val="left"/>
    </w:lvl>
  </w:abstractNum>
  <w:abstractNum w:abstractNumId="8">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C833ADE"/>
    <w:multiLevelType w:val="multilevel"/>
    <w:tmpl w:val="6C833AD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F278EF0"/>
    <w:multiLevelType w:val="singleLevel"/>
    <w:tmpl w:val="7F278EF0"/>
    <w:lvl w:ilvl="0" w:tentative="0">
      <w:start w:val="3"/>
      <w:numFmt w:val="decimal"/>
      <w:suff w:val="space"/>
      <w:lvlText w:val="%1."/>
      <w:lvlJc w:val="left"/>
      <w:rPr>
        <w:rFonts w:hint="default"/>
        <w:b/>
        <w:bCs/>
      </w:rPr>
    </w:lvl>
  </w:abstractNum>
  <w:num w:numId="1">
    <w:abstractNumId w:val="8"/>
  </w:num>
  <w:num w:numId="2">
    <w:abstractNumId w:val="10"/>
  </w:num>
  <w:num w:numId="3">
    <w:abstractNumId w:val="9"/>
  </w:num>
  <w:num w:numId="4">
    <w:abstractNumId w:val="13"/>
  </w:num>
  <w:num w:numId="5">
    <w:abstractNumId w:val="11"/>
  </w:num>
  <w:num w:numId="6">
    <w:abstractNumId w:val="1"/>
  </w:num>
  <w:num w:numId="7">
    <w:abstractNumId w:val="6"/>
  </w:num>
  <w:num w:numId="8">
    <w:abstractNumId w:val="4"/>
  </w:num>
  <w:num w:numId="9">
    <w:abstractNumId w:val="2"/>
  </w:num>
  <w:num w:numId="10">
    <w:abstractNumId w:val="5"/>
  </w:num>
  <w:num w:numId="11">
    <w:abstractNumId w:val="12"/>
  </w:num>
  <w:num w:numId="12">
    <w:abstractNumId w:val="3"/>
  </w:num>
  <w:num w:numId="13">
    <w:abstractNumId w:val="7"/>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3B261A"/>
    <w:rsid w:val="016E368C"/>
    <w:rsid w:val="017B5E4B"/>
    <w:rsid w:val="018D054D"/>
    <w:rsid w:val="01FF08B3"/>
    <w:rsid w:val="028676F2"/>
    <w:rsid w:val="028A18D7"/>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1234B9"/>
    <w:rsid w:val="08641205"/>
    <w:rsid w:val="0868025F"/>
    <w:rsid w:val="0873226E"/>
    <w:rsid w:val="08935729"/>
    <w:rsid w:val="08C654D4"/>
    <w:rsid w:val="08CC5D10"/>
    <w:rsid w:val="092C45E6"/>
    <w:rsid w:val="09535B28"/>
    <w:rsid w:val="099F556C"/>
    <w:rsid w:val="09AC0546"/>
    <w:rsid w:val="09C640C3"/>
    <w:rsid w:val="0A5763D4"/>
    <w:rsid w:val="0A7B14C3"/>
    <w:rsid w:val="0A7BF868"/>
    <w:rsid w:val="0A917BF4"/>
    <w:rsid w:val="0A9573F8"/>
    <w:rsid w:val="0B7322DC"/>
    <w:rsid w:val="0BB77882"/>
    <w:rsid w:val="0C2A1653"/>
    <w:rsid w:val="0C3C5307"/>
    <w:rsid w:val="0C56263C"/>
    <w:rsid w:val="0C5E2B8A"/>
    <w:rsid w:val="0C63560C"/>
    <w:rsid w:val="0CFD1C3A"/>
    <w:rsid w:val="0D102274"/>
    <w:rsid w:val="0DA958CA"/>
    <w:rsid w:val="0DF104D3"/>
    <w:rsid w:val="0E1C586B"/>
    <w:rsid w:val="0E8A024B"/>
    <w:rsid w:val="0ED138E6"/>
    <w:rsid w:val="0F130B06"/>
    <w:rsid w:val="0F67780F"/>
    <w:rsid w:val="0F8F3C2A"/>
    <w:rsid w:val="0FB648CB"/>
    <w:rsid w:val="0FD0731A"/>
    <w:rsid w:val="0FE466DD"/>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0C4579"/>
    <w:rsid w:val="13262572"/>
    <w:rsid w:val="136D11EC"/>
    <w:rsid w:val="137D50D6"/>
    <w:rsid w:val="139B3B65"/>
    <w:rsid w:val="13A62830"/>
    <w:rsid w:val="13AA6788"/>
    <w:rsid w:val="13D36053"/>
    <w:rsid w:val="13F75352"/>
    <w:rsid w:val="13FA5349"/>
    <w:rsid w:val="141E7377"/>
    <w:rsid w:val="1480544B"/>
    <w:rsid w:val="14A25B1A"/>
    <w:rsid w:val="14B36B91"/>
    <w:rsid w:val="14DE3D1B"/>
    <w:rsid w:val="15DC4DC0"/>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5D4CDB"/>
    <w:rsid w:val="1B7F155B"/>
    <w:rsid w:val="1BAE2A00"/>
    <w:rsid w:val="1C596A45"/>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1BF3207"/>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007F6F"/>
    <w:rsid w:val="2A1219AD"/>
    <w:rsid w:val="2A1E4047"/>
    <w:rsid w:val="2A394321"/>
    <w:rsid w:val="2AAF72F6"/>
    <w:rsid w:val="2AE26D3F"/>
    <w:rsid w:val="2AF125AB"/>
    <w:rsid w:val="2AF8774D"/>
    <w:rsid w:val="2B0F6E62"/>
    <w:rsid w:val="2B3F4136"/>
    <w:rsid w:val="2B5F7B9D"/>
    <w:rsid w:val="2B6F3DB4"/>
    <w:rsid w:val="2B7579C5"/>
    <w:rsid w:val="2B7731A8"/>
    <w:rsid w:val="2BB04900"/>
    <w:rsid w:val="2C1B2490"/>
    <w:rsid w:val="2C3A3275"/>
    <w:rsid w:val="2C3D1579"/>
    <w:rsid w:val="2C480AAD"/>
    <w:rsid w:val="2C495744"/>
    <w:rsid w:val="2CEE6B8D"/>
    <w:rsid w:val="2D233DAE"/>
    <w:rsid w:val="2D8E403A"/>
    <w:rsid w:val="2DF9626C"/>
    <w:rsid w:val="2E145F76"/>
    <w:rsid w:val="2E424037"/>
    <w:rsid w:val="2EA86D09"/>
    <w:rsid w:val="2ECE747D"/>
    <w:rsid w:val="2F32226B"/>
    <w:rsid w:val="2F376D10"/>
    <w:rsid w:val="2FA231C5"/>
    <w:rsid w:val="30572215"/>
    <w:rsid w:val="308B65F2"/>
    <w:rsid w:val="30A9337F"/>
    <w:rsid w:val="30F5782F"/>
    <w:rsid w:val="3117229F"/>
    <w:rsid w:val="312C2175"/>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7F5993"/>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936522"/>
    <w:rsid w:val="3DC04E13"/>
    <w:rsid w:val="3DD244E7"/>
    <w:rsid w:val="3E132617"/>
    <w:rsid w:val="3E1747FA"/>
    <w:rsid w:val="3E5B41D6"/>
    <w:rsid w:val="3E964B98"/>
    <w:rsid w:val="3ECE16FA"/>
    <w:rsid w:val="3F3542FD"/>
    <w:rsid w:val="3F4118C8"/>
    <w:rsid w:val="3F5C676A"/>
    <w:rsid w:val="3F6C5561"/>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440AEA"/>
    <w:rsid w:val="449E489D"/>
    <w:rsid w:val="44B24294"/>
    <w:rsid w:val="44CF520F"/>
    <w:rsid w:val="44D50483"/>
    <w:rsid w:val="44E03D84"/>
    <w:rsid w:val="44FA7AC5"/>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6A5BAA"/>
    <w:rsid w:val="4C723787"/>
    <w:rsid w:val="4C783FE1"/>
    <w:rsid w:val="4CF05EAC"/>
    <w:rsid w:val="4D102CB4"/>
    <w:rsid w:val="4D2D38A1"/>
    <w:rsid w:val="4D9E609E"/>
    <w:rsid w:val="4E0243C8"/>
    <w:rsid w:val="4E345636"/>
    <w:rsid w:val="4E652C5C"/>
    <w:rsid w:val="4E9105E7"/>
    <w:rsid w:val="4EB053BD"/>
    <w:rsid w:val="4FBC6FAF"/>
    <w:rsid w:val="4FDC68F3"/>
    <w:rsid w:val="4FFF46BE"/>
    <w:rsid w:val="50005DA1"/>
    <w:rsid w:val="5041435B"/>
    <w:rsid w:val="50564CCA"/>
    <w:rsid w:val="505A1CB0"/>
    <w:rsid w:val="505B5FE6"/>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1B1E03"/>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6DA7957"/>
    <w:rsid w:val="577E3F1D"/>
    <w:rsid w:val="57C70008"/>
    <w:rsid w:val="58573F49"/>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A617AD"/>
    <w:rsid w:val="5EE41E2E"/>
    <w:rsid w:val="5F0F00DA"/>
    <w:rsid w:val="60017F85"/>
    <w:rsid w:val="60032276"/>
    <w:rsid w:val="6045086B"/>
    <w:rsid w:val="607061CF"/>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2C2BE8"/>
    <w:rsid w:val="6C42065A"/>
    <w:rsid w:val="6C6F44FD"/>
    <w:rsid w:val="6C7851D5"/>
    <w:rsid w:val="6C9E7796"/>
    <w:rsid w:val="6CB759F8"/>
    <w:rsid w:val="6CD4731D"/>
    <w:rsid w:val="6D121910"/>
    <w:rsid w:val="6D3205F0"/>
    <w:rsid w:val="6D4C048E"/>
    <w:rsid w:val="6D862B60"/>
    <w:rsid w:val="6DB702B4"/>
    <w:rsid w:val="6E4462CC"/>
    <w:rsid w:val="6E504618"/>
    <w:rsid w:val="6EB20078"/>
    <w:rsid w:val="6F33457C"/>
    <w:rsid w:val="6F5579D7"/>
    <w:rsid w:val="6F801AF8"/>
    <w:rsid w:val="6F8D5AAE"/>
    <w:rsid w:val="6F9229FC"/>
    <w:rsid w:val="6FFF59CB"/>
    <w:rsid w:val="70160759"/>
    <w:rsid w:val="70200B37"/>
    <w:rsid w:val="7037013D"/>
    <w:rsid w:val="704E4A67"/>
    <w:rsid w:val="707C0480"/>
    <w:rsid w:val="70995673"/>
    <w:rsid w:val="70AA0AC2"/>
    <w:rsid w:val="70AA24EA"/>
    <w:rsid w:val="70B1689B"/>
    <w:rsid w:val="70B97CE8"/>
    <w:rsid w:val="70D46C56"/>
    <w:rsid w:val="70EA7511"/>
    <w:rsid w:val="71143E21"/>
    <w:rsid w:val="71616F10"/>
    <w:rsid w:val="71C93578"/>
    <w:rsid w:val="727F3CA5"/>
    <w:rsid w:val="72867A39"/>
    <w:rsid w:val="72EE3608"/>
    <w:rsid w:val="72F37E30"/>
    <w:rsid w:val="7327462F"/>
    <w:rsid w:val="732F59FD"/>
    <w:rsid w:val="733456FC"/>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692BB6"/>
    <w:rsid w:val="79C0590F"/>
    <w:rsid w:val="7A080BBF"/>
    <w:rsid w:val="7A446180"/>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45846"/>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